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4-5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vesignal Sparkassen Münsterland Giro 2026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